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44"/>
          <w:szCs w:val="44"/>
        </w:rPr>
      </w:pPr>
      <w:r>
        <w:rPr>
          <w:sz w:val="44"/>
          <w:szCs w:val="44"/>
        </w:rPr>
        <w:pict>
          <v:shape id="_x0000_i1025" o:spt="136" type="#_x0000_t136" style="height:57pt;width:425.25pt;" fillcolor="#FFFFFF" filled="t" stroked="t" coordsize="21600,21600" adj="10800">
            <v:path/>
            <v:fill on="t" color2="#FFFFFF" focussize="0,0"/>
            <v:stroke color="#FFFFFF"/>
            <v:imagedata o:title=""/>
            <o:lock v:ext="edit" aspectratio="f"/>
            <v:textpath on="t" fitshape="t" fitpath="t" trim="t" xscale="f" string="伊春市嘉荫生态环境局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仿宋_GB2312" w:eastAsia="仿宋_GB2312" w:cs="仿宋_GB2312"/>
          <w:b w:val="0"/>
          <w:bCs/>
          <w:spacing w:val="-20"/>
          <w:sz w:val="32"/>
          <w:szCs w:val="32"/>
        </w:rPr>
        <w:t>嘉环建审〔</w:t>
      </w: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w:t>
      </w:r>
      <w:r>
        <w:rPr>
          <w:rFonts w:hint="eastAsia" w:ascii="仿宋_GB2312" w:hAnsi="仿宋_GB2312" w:eastAsia="仿宋_GB2312" w:cs="仿宋_GB2312"/>
          <w:b w:val="0"/>
          <w:bCs/>
          <w:spacing w:val="-20"/>
          <w:sz w:val="32"/>
          <w:szCs w:val="32"/>
          <w:lang w:val="en-US" w:eastAsia="zh-CN"/>
        </w:rPr>
        <w:t>2号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OLE_LINK2"/>
      <w:r>
        <w:rPr>
          <w:rFonts w:hint="eastAsia" w:ascii="方正小标宋简体" w:hAnsi="方正小标宋简体" w:eastAsia="方正小标宋简体" w:cs="方正小标宋简体"/>
          <w:b w:val="0"/>
          <w:bCs w:val="0"/>
          <w:sz w:val="44"/>
          <w:szCs w:val="44"/>
          <w:lang w:val="en-US" w:eastAsia="zh-CN"/>
        </w:rPr>
        <w:t>黑龙江省龙建路桥第二工程有限公司嘉荫分公司商品混凝土搅拌站建设项目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仿宋_GB2312" w:hAnsi="仿宋_GB2312" w:eastAsia="仿宋_GB2312" w:cs="仿宋_GB2312"/>
          <w:b w:val="0"/>
          <w:bCs/>
          <w:spacing w:val="-20"/>
          <w:sz w:val="32"/>
          <w:szCs w:val="32"/>
          <w:lang w:val="en-US" w:eastAsia="zh-CN"/>
        </w:rPr>
      </w:pPr>
      <w:r>
        <w:rPr>
          <w:rFonts w:hint="eastAsia" w:ascii="方正小标宋简体" w:hAnsi="方正小标宋简体" w:eastAsia="方正小标宋简体" w:cs="方正小标宋简体"/>
          <w:b w:val="0"/>
          <w:bCs w:val="0"/>
          <w:sz w:val="44"/>
          <w:szCs w:val="44"/>
        </w:rPr>
        <w:t>环境影响报告表</w:t>
      </w:r>
      <w:bookmarkEnd w:id="0"/>
      <w:r>
        <w:rPr>
          <w:rFonts w:hint="eastAsia" w:ascii="方正小标宋简体" w:hAnsi="方正小标宋简体" w:eastAsia="方正小标宋简体" w:cs="方正小标宋简体"/>
          <w:b w:val="0"/>
          <w:bCs w:val="0"/>
          <w:sz w:val="44"/>
          <w:szCs w:val="44"/>
        </w:rPr>
        <w:t>的批复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outlineLvl w:val="9"/>
        <w:rPr>
          <w:rFonts w:hint="eastAsia" w:ascii="仿宋_GB2312" w:hAnsi="仿宋_GB2312" w:eastAsia="仿宋_GB2312" w:cs="仿宋_GB2312"/>
          <w:b w:val="0"/>
          <w:bCs/>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jc w:val="both"/>
        <w:textAlignment w:val="auto"/>
        <w:outlineLvl w:val="9"/>
        <w:rPr>
          <w:rFonts w:hint="eastAsia" w:ascii="仿宋_GB2312" w:hAnsi="仿宋_GB2312" w:eastAsia="仿宋_GB2312" w:cs="仿宋_GB2312"/>
          <w:b w:val="0"/>
          <w:bCs/>
          <w:spacing w:val="-20"/>
          <w:sz w:val="32"/>
          <w:szCs w:val="32"/>
          <w:lang w:val="en-US" w:eastAsia="zh-CN"/>
        </w:rPr>
      </w:pPr>
      <w:bookmarkStart w:id="3" w:name="_GoBack"/>
      <w:r>
        <w:rPr>
          <w:rFonts w:hint="eastAsia" w:ascii="仿宋_GB2312" w:hAnsi="仿宋_GB2312" w:eastAsia="仿宋_GB2312" w:cs="仿宋_GB2312"/>
          <w:b w:val="0"/>
          <w:bCs/>
          <w:spacing w:val="-20"/>
          <w:sz w:val="32"/>
          <w:szCs w:val="32"/>
          <w:lang w:val="en-US" w:eastAsia="zh-CN"/>
        </w:rPr>
        <w:t>黑龙江省龙建路桥第二工程有限公司嘉荫分公司：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rPr>
      </w:pPr>
      <w:r>
        <w:rPr>
          <w:rFonts w:hint="eastAsia" w:ascii="仿宋_GB2312" w:hAnsi="仿宋_GB2312" w:eastAsia="仿宋_GB2312" w:cs="仿宋_GB2312"/>
          <w:b w:val="0"/>
          <w:bCs/>
          <w:spacing w:val="-20"/>
          <w:sz w:val="32"/>
          <w:szCs w:val="32"/>
        </w:rPr>
        <w:t>你单位报送的《</w:t>
      </w:r>
      <w:r>
        <w:rPr>
          <w:rFonts w:hint="eastAsia" w:ascii="仿宋_GB2312" w:hAnsi="仿宋_GB2312" w:eastAsia="仿宋_GB2312" w:cs="仿宋_GB2312"/>
          <w:b w:val="0"/>
          <w:bCs/>
          <w:spacing w:val="-20"/>
          <w:sz w:val="32"/>
          <w:szCs w:val="32"/>
          <w:lang w:val="en-US" w:eastAsia="zh-CN"/>
        </w:rPr>
        <w:t>黑龙江省龙建路桥第二工程有限公司嘉荫分公司商品混凝土搅拌站建设项目环境影响报告表</w:t>
      </w:r>
      <w:r>
        <w:rPr>
          <w:rFonts w:hint="eastAsia" w:ascii="仿宋_GB2312" w:hAnsi="仿宋_GB2312" w:eastAsia="仿宋_GB2312" w:cs="仿宋_GB2312"/>
          <w:b w:val="0"/>
          <w:bCs/>
          <w:spacing w:val="-20"/>
          <w:sz w:val="32"/>
          <w:szCs w:val="32"/>
          <w:lang w:eastAsia="zh-CN"/>
        </w:rPr>
        <w:t>》</w:t>
      </w:r>
      <w:r>
        <w:rPr>
          <w:rFonts w:hint="eastAsia" w:ascii="仿宋_GB2312" w:hAnsi="仿宋_GB2312" w:eastAsia="仿宋_GB2312" w:cs="仿宋_GB2312"/>
          <w:b w:val="0"/>
          <w:bCs/>
          <w:spacing w:val="-20"/>
          <w:sz w:val="32"/>
          <w:szCs w:val="32"/>
        </w:rPr>
        <w:t>（以下简称《报告表》）已收悉，经审查，经专家组评审后，本项目的建设符合国家相关政策和产业结构调整方向，现将审批意见批复如下：</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黑体" w:hAnsi="黑体" w:eastAsia="黑体" w:cs="黑体"/>
          <w:b w:val="0"/>
          <w:bCs/>
          <w:spacing w:val="-20"/>
          <w:sz w:val="32"/>
          <w:szCs w:val="32"/>
        </w:rPr>
      </w:pPr>
      <w:r>
        <w:rPr>
          <w:rFonts w:hint="eastAsia" w:ascii="黑体" w:hAnsi="黑体" w:eastAsia="黑体" w:cs="黑体"/>
          <w:b w:val="0"/>
          <w:bCs/>
          <w:spacing w:val="-20"/>
          <w:sz w:val="32"/>
          <w:szCs w:val="32"/>
        </w:rPr>
        <w:t>一、具体内容</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项目名称：</w:t>
      </w:r>
      <w:bookmarkStart w:id="1" w:name="OLE_LINK1"/>
      <w:r>
        <w:rPr>
          <w:rFonts w:hint="eastAsia" w:ascii="仿宋_GB2312" w:hAnsi="仿宋_GB2312" w:eastAsia="仿宋_GB2312" w:cs="仿宋_GB2312"/>
          <w:b w:val="0"/>
          <w:bCs/>
          <w:spacing w:val="-20"/>
          <w:sz w:val="32"/>
          <w:szCs w:val="32"/>
          <w:lang w:val="en-US" w:eastAsia="zh-CN"/>
        </w:rPr>
        <w:t>黑龙江省龙建路桥第二工程有限公司嘉荫分公司商品混凝土搅拌站建设项目</w:t>
      </w:r>
      <w:bookmarkEnd w:id="1"/>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建设地点：伊春市嘉荫县旧城村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建设单位：黑龙江省龙建路桥第二工程有限公司嘉荫分公司</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rPr>
        <w:t>建设性质</w:t>
      </w:r>
      <w:r>
        <w:rPr>
          <w:rFonts w:hint="eastAsia" w:ascii="仿宋_GB2312" w:hAnsi="仿宋_GB2312" w:eastAsia="仿宋_GB2312" w:cs="仿宋_GB2312"/>
          <w:b w:val="0"/>
          <w:bCs/>
          <w:spacing w:val="-20"/>
          <w:sz w:val="32"/>
          <w:szCs w:val="32"/>
          <w:lang w:val="en-US" w:eastAsia="zh-CN"/>
        </w:rPr>
        <w:t>：改扩建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环境影响评价机构：哈尔滨驰文环保技术服务有限公司</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项目内容：本项目总占地面积7558.86m2，项目设有全封闭混凝土搅拌站、水泥筒仓、粉煤灰筒仓和办公用房等相关构筑物，且配套建有相关附属设施；同时，工程建有1条混凝土生产线，年生产商品混凝土1.5万m3。</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总投资：108.15万元，其中环保投资21.63万元。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6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pacing w:val="-20"/>
          <w:sz w:val="32"/>
          <w:szCs w:val="32"/>
        </w:rPr>
        <w:t>二、</w:t>
      </w:r>
      <w:r>
        <w:rPr>
          <w:rFonts w:hint="eastAsia" w:ascii="黑体" w:hAnsi="黑体" w:eastAsia="黑体" w:cs="黑体"/>
          <w:b w:val="0"/>
          <w:bCs/>
          <w:sz w:val="32"/>
          <w:szCs w:val="32"/>
          <w:lang w:val="zh-CN"/>
        </w:rPr>
        <w:t>项目</w:t>
      </w:r>
      <w:r>
        <w:rPr>
          <w:rFonts w:hint="eastAsia" w:ascii="黑体" w:hAnsi="黑体" w:eastAsia="黑体" w:cs="黑体"/>
          <w:b w:val="0"/>
          <w:bCs/>
          <w:sz w:val="32"/>
          <w:szCs w:val="32"/>
          <w:lang w:val="en-US" w:eastAsia="zh-CN"/>
        </w:rPr>
        <w:t>污染防治措施</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（一）建设期</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 xml:space="preserve">1、大气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裸露的渣土及散装物料堆放苫布覆盖、施工现场四周设置围挡、工地湿法作业、驶出车辆进行清洗、渣土车辆密闭运输。</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 xml:space="preserve">2、废水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施工场区内设置沉淀池，施工废水收集至沉淀池沉淀后回用；施工人员生活污水排入防渗旱厕，定期清掏。</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3、噪声</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 xml:space="preserve">合理安排施工时间且夜间不施工。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4、固体废物</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对建筑垃圾分类收集并尽可能的回收再利用或者就地场地平整，不能回收利用的统一收集后送至指定建筑垃圾堆放点。生活垃圾应暂存于垃圾箱内，由环卫部门定期清理。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（二）运营期</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1、废水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生活污水排入厂内防渗旱厕，外运堆肥。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2、固体废物</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bookmarkStart w:id="2" w:name="_Hlk111126776"/>
      <w:r>
        <w:rPr>
          <w:rFonts w:hint="eastAsia" w:ascii="仿宋_GB2312" w:hAnsi="仿宋_GB2312" w:eastAsia="仿宋_GB2312" w:cs="仿宋_GB2312"/>
          <w:b w:val="0"/>
          <w:bCs/>
          <w:kern w:val="0"/>
          <w:sz w:val="32"/>
          <w:szCs w:val="32"/>
          <w:lang w:val="en-US" w:eastAsia="zh-CN"/>
        </w:rPr>
        <w:t>生活垃圾由环卫部门统一清运；实验室废料集中收集后收集后外售用于修筑道路；布袋除尘器收集的粉尘作为原料直接回用于生产工序；废弃布袋集中收集后由厂家回收；含油手套收集于危险废物贮存点，定期交由有资质单位处置。</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3、废气</w:t>
      </w:r>
      <w:bookmarkEnd w:id="2"/>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本项目粉状原料由封闭式罐车运输，砂石原料在运输过程中保持湿度并加盖苫布；厂区地面进行硬化，铺置水泥路面，定时洒水抑尘；原料堆场四周设置防风抑尘网和挡板，并洒水抑尘扬尘；水泥筒仓废气负压收集后经仓顶布袋除尘器处理后由 20m 排气筒排放，投料斗上方设置半封闭式罩棚，并在投料口上方设置雾化喷淋装置，适当增加该区域空气含水率，加快粉尘沉降；搅拌站采用彩钢棚进行整体封闭，物料通过密闭管道输送及收集，搅拌机搅拌过程中为密闭状态，搅拌主机卸料口应设置防喷溅设施。</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4、噪声</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采用低噪声设备、隔声、消声以及减振等措施将厂界噪声排放控制在60dB（A）以下，满足《工业企业厂界噪声排放标准》（GB12348-2008）中2类标准要求。</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、项目管理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建设单位必须严格落实报告表提出的各项环保措施，保证各配套环保设备正常运行。保证环境保护设施建设与主体工程建设 “三同时”</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_GB2312" w:hAnsi="仿宋_GB2312" w:eastAsia="仿宋_GB2312" w:cs="仿宋_GB2312"/>
          <w:b w:val="0"/>
          <w:bCs/>
          <w:spacing w:val="-20"/>
          <w:sz w:val="32"/>
          <w:szCs w:val="32"/>
          <w:lang w:eastAsia="zh-CN"/>
        </w:rPr>
      </w:pPr>
      <w:r>
        <w:rPr>
          <w:rFonts w:hint="eastAsia" w:ascii="仿宋_GB2312" w:hAnsi="仿宋_GB2312" w:eastAsia="仿宋_GB2312" w:cs="仿宋_GB2312"/>
          <w:b w:val="0"/>
          <w:bCs/>
          <w:kern w:val="0"/>
          <w:sz w:val="32"/>
          <w:szCs w:val="32"/>
        </w:rPr>
        <w:t>项目竣工后，建设单位须按规定程序</w:t>
      </w:r>
      <w:r>
        <w:rPr>
          <w:rFonts w:hint="eastAsia" w:ascii="仿宋_GB2312" w:hAnsi="仿宋_GB2312" w:eastAsia="仿宋_GB2312" w:cs="仿宋_GB2312"/>
          <w:b w:val="0"/>
          <w:bCs/>
          <w:kern w:val="0"/>
          <w:sz w:val="32"/>
          <w:szCs w:val="32"/>
          <w:lang w:eastAsia="zh-CN"/>
        </w:rPr>
        <w:t>自行验收，相关文件报备至本地区生态环境部门备案</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积极配合日后环境监管。</w:t>
      </w:r>
      <w:r>
        <w:rPr>
          <w:rFonts w:hint="eastAsia" w:ascii="仿宋_GB2312" w:hAnsi="仿宋_GB2312" w:eastAsia="仿宋_GB2312" w:cs="仿宋_GB2312"/>
          <w:b w:val="0"/>
          <w:bCs/>
          <w:kern w:val="0"/>
          <w:sz w:val="32"/>
          <w:szCs w:val="32"/>
        </w:rPr>
        <w:t>严格执行生态保护措施，如发生重大变动，须重新审批。</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firstLine="5320" w:firstLineChars="1900"/>
        <w:jc w:val="both"/>
        <w:textAlignment w:val="auto"/>
        <w:outlineLvl w:val="9"/>
        <w:rPr>
          <w:rFonts w:hint="eastAsia"/>
          <w:lang w:val="en-US" w:eastAsia="zh-CN"/>
        </w:rPr>
      </w:pP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1</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28日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firstLine="560" w:firstLineChars="200"/>
        <w:jc w:val="both"/>
        <w:textAlignment w:val="auto"/>
        <w:outlineLvl w:val="9"/>
        <w:rPr>
          <w:rFonts w:hint="eastAsia" w:cstheme="minorBidi"/>
          <w:kern w:val="2"/>
          <w:sz w:val="32"/>
          <w:szCs w:val="32"/>
          <w:lang w:val="en-US" w:eastAsia="zh-CN" w:bidi="ar-SA"/>
        </w:rPr>
      </w:pPr>
      <w:r>
        <w:rPr>
          <w:rFonts w:hint="eastAsia" w:ascii="仿宋_GB2312" w:hAnsi="仿宋_GB2312" w:eastAsia="仿宋_GB2312" w:cs="仿宋_GB2312"/>
          <w:b w:val="0"/>
          <w:bCs/>
          <w:spacing w:val="-20"/>
          <w:sz w:val="32"/>
          <w:szCs w:val="32"/>
        </w:rPr>
        <w:pict>
          <v:line id="_x0000_s1033" o:spid="_x0000_s1033" o:spt="20" style="position:absolute;left:0pt;margin-left:0pt;margin-top:28.6pt;height:0pt;width:448pt;z-index:251661312;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rPr>
        <w:pict>
          <v:line id="_x0000_s1034" o:spid="_x0000_s1034" o:spt="20" style="position:absolute;left:0pt;margin-left:0pt;margin-top:1.6pt;height:0pt;width:448pt;z-index:251660288;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1</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28</w:t>
      </w:r>
      <w:r>
        <w:rPr>
          <w:rFonts w:hint="eastAsia" w:ascii="仿宋_GB2312" w:hAnsi="仿宋_GB2312" w:eastAsia="仿宋_GB2312" w:cs="仿宋_GB2312"/>
          <w:b w:val="0"/>
          <w:bCs/>
          <w:spacing w:val="-20"/>
          <w:sz w:val="32"/>
          <w:szCs w:val="32"/>
        </w:rPr>
        <w:t xml:space="preserve">日 </w:t>
      </w:r>
      <w:r>
        <w:rPr>
          <w:rFonts w:hint="eastAsia" w:ascii="仿宋" w:hAnsi="仿宋" w:eastAsia="仿宋" w:cs="仿宋"/>
          <w:b w:val="0"/>
          <w:bCs/>
          <w:spacing w:val="-20"/>
          <w:sz w:val="32"/>
          <w:szCs w:val="32"/>
        </w:rPr>
        <w:t xml:space="preserve">   </w:t>
      </w:r>
    </w:p>
    <w:bookmarkEnd w:id="3"/>
    <w:sectPr>
      <w:footerReference r:id="rId3" w:type="default"/>
      <w:pgSz w:w="11906" w:h="16838"/>
      <w:pgMar w:top="1531" w:right="124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77B95"/>
    <w:multiLevelType w:val="singleLevel"/>
    <w:tmpl w:val="3F777B95"/>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MTNiZTM1ZTkzNWUxNjhjNTQzMjg5NDIzNjE5OGMifQ=="/>
  </w:docVars>
  <w:rsids>
    <w:rsidRoot w:val="001B0C2F"/>
    <w:rsid w:val="0001730E"/>
    <w:rsid w:val="001B0C2F"/>
    <w:rsid w:val="001E0FB5"/>
    <w:rsid w:val="005B0F7C"/>
    <w:rsid w:val="006C414B"/>
    <w:rsid w:val="009A63DC"/>
    <w:rsid w:val="009D2AD3"/>
    <w:rsid w:val="00EF10B6"/>
    <w:rsid w:val="010D0030"/>
    <w:rsid w:val="025E3ACE"/>
    <w:rsid w:val="03534BA3"/>
    <w:rsid w:val="04B45A07"/>
    <w:rsid w:val="05B616A5"/>
    <w:rsid w:val="060A133A"/>
    <w:rsid w:val="068A39D5"/>
    <w:rsid w:val="075F770D"/>
    <w:rsid w:val="0ABA65F9"/>
    <w:rsid w:val="0AF24DBE"/>
    <w:rsid w:val="0C304361"/>
    <w:rsid w:val="0DDD4B8A"/>
    <w:rsid w:val="10643BE8"/>
    <w:rsid w:val="11111022"/>
    <w:rsid w:val="13820A34"/>
    <w:rsid w:val="14455071"/>
    <w:rsid w:val="149A7A47"/>
    <w:rsid w:val="153A470C"/>
    <w:rsid w:val="16383523"/>
    <w:rsid w:val="17957348"/>
    <w:rsid w:val="18496D0F"/>
    <w:rsid w:val="186A2FA6"/>
    <w:rsid w:val="1AA54936"/>
    <w:rsid w:val="1E790D19"/>
    <w:rsid w:val="21CE2586"/>
    <w:rsid w:val="22D518E0"/>
    <w:rsid w:val="23E341AC"/>
    <w:rsid w:val="2414155B"/>
    <w:rsid w:val="255914F5"/>
    <w:rsid w:val="269C129A"/>
    <w:rsid w:val="26CC1D22"/>
    <w:rsid w:val="28EC4343"/>
    <w:rsid w:val="2A1349DD"/>
    <w:rsid w:val="2B193335"/>
    <w:rsid w:val="2E0F1DA6"/>
    <w:rsid w:val="2F0775A0"/>
    <w:rsid w:val="32770ED0"/>
    <w:rsid w:val="340F3D09"/>
    <w:rsid w:val="34713E7F"/>
    <w:rsid w:val="365B5056"/>
    <w:rsid w:val="39D16722"/>
    <w:rsid w:val="39ED67B4"/>
    <w:rsid w:val="3A795240"/>
    <w:rsid w:val="3B7072B8"/>
    <w:rsid w:val="3DD938DC"/>
    <w:rsid w:val="3ED2362F"/>
    <w:rsid w:val="3F105A2B"/>
    <w:rsid w:val="3F521D6C"/>
    <w:rsid w:val="3FD860CF"/>
    <w:rsid w:val="40595EAF"/>
    <w:rsid w:val="40A419DF"/>
    <w:rsid w:val="42206BD3"/>
    <w:rsid w:val="42674667"/>
    <w:rsid w:val="42780578"/>
    <w:rsid w:val="45273809"/>
    <w:rsid w:val="47E425FE"/>
    <w:rsid w:val="498106AE"/>
    <w:rsid w:val="4B4B6D7C"/>
    <w:rsid w:val="4C0A5E75"/>
    <w:rsid w:val="505363E9"/>
    <w:rsid w:val="50925F6D"/>
    <w:rsid w:val="54284C14"/>
    <w:rsid w:val="579F6D41"/>
    <w:rsid w:val="586E2018"/>
    <w:rsid w:val="5905198F"/>
    <w:rsid w:val="5A7C2027"/>
    <w:rsid w:val="5C3B7C3A"/>
    <w:rsid w:val="5D821EBD"/>
    <w:rsid w:val="5F605BF0"/>
    <w:rsid w:val="60845921"/>
    <w:rsid w:val="60BC0CEF"/>
    <w:rsid w:val="614C1A72"/>
    <w:rsid w:val="617C2ED8"/>
    <w:rsid w:val="68B808FF"/>
    <w:rsid w:val="68C42AB2"/>
    <w:rsid w:val="693C36A0"/>
    <w:rsid w:val="6A6E2CEB"/>
    <w:rsid w:val="6CEE71E6"/>
    <w:rsid w:val="6D2726DD"/>
    <w:rsid w:val="6E703E6A"/>
    <w:rsid w:val="6E8D27C7"/>
    <w:rsid w:val="6F00224C"/>
    <w:rsid w:val="71323A25"/>
    <w:rsid w:val="71452F46"/>
    <w:rsid w:val="71EE23F6"/>
    <w:rsid w:val="72710EDD"/>
    <w:rsid w:val="72E736D4"/>
    <w:rsid w:val="743F7584"/>
    <w:rsid w:val="753E2BFF"/>
    <w:rsid w:val="75DE2E7A"/>
    <w:rsid w:val="76E463EA"/>
    <w:rsid w:val="78E63066"/>
    <w:rsid w:val="7ABD276F"/>
    <w:rsid w:val="7C4D1716"/>
    <w:rsid w:val="7D28064C"/>
    <w:rsid w:val="7E8A15D3"/>
    <w:rsid w:val="7FE64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报告书正文"/>
    <w:basedOn w:val="1"/>
    <w:qFormat/>
    <w:uiPriority w:val="0"/>
    <w:pPr>
      <w:adjustRightInd w:val="0"/>
      <w:snapToGrid w:val="0"/>
      <w:spacing w:line="360" w:lineRule="auto"/>
      <w:ind w:firstLine="425"/>
      <w:textAlignment w:val="baseline"/>
    </w:pPr>
    <w:rPr>
      <w:rFonts w:ascii="Arial" w:hAnsi="Arial" w:cs="Times New Roman"/>
      <w:kern w:val="0"/>
      <w:sz w:val="24"/>
      <w:szCs w:val="24"/>
    </w:rPr>
  </w:style>
  <w:style w:type="paragraph" w:styleId="5">
    <w:name w:val="Normal Indent"/>
    <w:basedOn w:val="1"/>
    <w:next w:val="1"/>
    <w:qFormat/>
    <w:uiPriority w:val="0"/>
    <w:pPr>
      <w:ind w:firstLine="420"/>
    </w:pPr>
    <w:rPr>
      <w:rFonts w:ascii="Times New Roman" w:eastAsia="仿宋_GB2312"/>
      <w:kern w:val="2"/>
      <w:sz w:val="21"/>
    </w:rPr>
  </w:style>
  <w:style w:type="paragraph" w:styleId="6">
    <w:name w:val="Body Text"/>
    <w:basedOn w:val="1"/>
    <w:next w:val="7"/>
    <w:qFormat/>
    <w:uiPriority w:val="0"/>
    <w:pPr>
      <w:widowControl/>
      <w:snapToGrid w:val="0"/>
      <w:spacing w:before="60" w:after="160" w:line="259" w:lineRule="auto"/>
      <w:ind w:right="113"/>
    </w:pPr>
    <w:rPr>
      <w:kern w:val="0"/>
      <w:sz w:val="18"/>
      <w:szCs w:val="20"/>
    </w:rPr>
  </w:style>
  <w:style w:type="paragraph" w:customStyle="1" w:styleId="7">
    <w:name w:val="Normal (Web)1"/>
    <w:basedOn w:val="1"/>
    <w:next w:val="8"/>
    <w:qFormat/>
    <w:uiPriority w:val="0"/>
    <w:pPr>
      <w:widowControl/>
      <w:jc w:val="left"/>
    </w:pPr>
    <w:rPr>
      <w:rFonts w:ascii="宋体" w:cs="Times New Roman"/>
      <w:kern w:val="0"/>
      <w:sz w:val="24"/>
      <w:szCs w:val="21"/>
    </w:rPr>
  </w:style>
  <w:style w:type="paragraph" w:customStyle="1" w:styleId="8">
    <w:name w:val="Date1"/>
    <w:basedOn w:val="1"/>
    <w:next w:val="1"/>
    <w:qFormat/>
    <w:uiPriority w:val="0"/>
    <w:pPr>
      <w:ind w:left="2500" w:leftChars="2500"/>
    </w:pPr>
  </w:style>
  <w:style w:type="paragraph" w:styleId="9">
    <w:name w:val="Body Text Indent"/>
    <w:basedOn w:val="1"/>
    <w:next w:val="10"/>
    <w:qFormat/>
    <w:uiPriority w:val="0"/>
    <w:pPr>
      <w:spacing w:after="120"/>
      <w:ind w:left="420" w:leftChars="200"/>
    </w:pPr>
    <w:rPr>
      <w:kern w:val="0"/>
      <w:sz w:val="24"/>
      <w:szCs w:val="20"/>
    </w:rPr>
  </w:style>
  <w:style w:type="paragraph" w:customStyle="1" w:styleId="10">
    <w:name w:val="样式 正文文本缩进 + 行距: 1.5 倍行距"/>
    <w:basedOn w:val="9"/>
    <w:qFormat/>
    <w:uiPriority w:val="0"/>
    <w:pPr>
      <w:spacing w:after="120"/>
      <w:ind w:left="90" w:leftChars="32" w:firstLine="560" w:firstLineChars="200"/>
    </w:pPr>
    <w:rPr>
      <w:rFonts w:cs="宋体"/>
    </w:rPr>
  </w:style>
  <w:style w:type="paragraph" w:styleId="11">
    <w:name w:val="List Bullet 5"/>
    <w:basedOn w:val="1"/>
    <w:semiHidden/>
    <w:unhideWhenUsed/>
    <w:qFormat/>
    <w:uiPriority w:val="99"/>
    <w:pPr>
      <w:numPr>
        <w:ilvl w:val="0"/>
        <w:numId w:val="1"/>
      </w:numPr>
    </w:pPr>
  </w:style>
  <w:style w:type="paragraph" w:styleId="12">
    <w:name w:val="Balloon Text"/>
    <w:basedOn w:val="1"/>
    <w:link w:val="34"/>
    <w:semiHidden/>
    <w:unhideWhenUsed/>
    <w:qFormat/>
    <w:uiPriority w:val="99"/>
    <w:rPr>
      <w:sz w:val="18"/>
      <w:szCs w:val="18"/>
    </w:rPr>
  </w:style>
  <w:style w:type="paragraph" w:styleId="13">
    <w:name w:val="footer"/>
    <w:basedOn w:val="1"/>
    <w:link w:val="33"/>
    <w:semiHidden/>
    <w:unhideWhenUsed/>
    <w:qFormat/>
    <w:uiPriority w:val="99"/>
    <w:pPr>
      <w:tabs>
        <w:tab w:val="center" w:pos="4153"/>
        <w:tab w:val="right" w:pos="8306"/>
      </w:tabs>
      <w:snapToGrid w:val="0"/>
      <w:jc w:val="left"/>
    </w:pPr>
    <w:rPr>
      <w:sz w:val="18"/>
      <w:szCs w:val="18"/>
    </w:rPr>
  </w:style>
  <w:style w:type="paragraph" w:styleId="14">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line="360" w:lineRule="auto"/>
    </w:pPr>
    <w:rPr>
      <w:b/>
      <w:sz w:val="24"/>
    </w:rPr>
  </w:style>
  <w:style w:type="paragraph" w:styleId="16">
    <w:name w:val="List"/>
    <w:basedOn w:val="1"/>
    <w:next w:val="1"/>
    <w:qFormat/>
    <w:uiPriority w:val="0"/>
    <w:pPr>
      <w:ind w:left="200" w:hanging="200" w:hangingChars="200"/>
    </w:pPr>
  </w:style>
  <w:style w:type="paragraph" w:styleId="17">
    <w:name w:val="toc 2"/>
    <w:basedOn w:val="1"/>
    <w:next w:val="1"/>
    <w:semiHidden/>
    <w:qFormat/>
    <w:uiPriority w:val="0"/>
    <w:pPr>
      <w:ind w:left="420" w:leftChars="200"/>
    </w:p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topLinePunct/>
      <w:spacing w:line="360" w:lineRule="auto"/>
      <w:ind w:left="1080" w:leftChars="500" w:hanging="1080" w:hangingChars="500"/>
    </w:pPr>
    <w:rPr>
      <w:rFonts w:ascii="Arial" w:hAnsi="Arial" w:eastAsia="仿宋_GB2312"/>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1"/>
    <w:qFormat/>
    <w:uiPriority w:val="0"/>
    <w:pPr>
      <w:ind w:firstLine="420" w:firstLineChars="100"/>
    </w:pPr>
    <w:rPr>
      <w:rFonts w:ascii="Times New Roman" w:hAnsi="Times New Roman"/>
      <w:szCs w:val="24"/>
    </w:rPr>
  </w:style>
  <w:style w:type="paragraph" w:styleId="21">
    <w:name w:val="Body Text First Indent 2"/>
    <w:basedOn w:val="9"/>
    <w:next w:val="1"/>
    <w:qFormat/>
    <w:uiPriority w:val="0"/>
    <w:pPr>
      <w:ind w:firstLine="420" w:firstLineChars="200"/>
    </w:pPr>
    <w:rPr>
      <w:kern w:val="2"/>
      <w:sz w:val="21"/>
      <w:szCs w:val="24"/>
    </w:rPr>
  </w:style>
  <w:style w:type="paragraph" w:customStyle="1" w:styleId="24">
    <w:name w:val="Default"/>
    <w:basedOn w:val="25"/>
    <w:next w:val="1"/>
    <w:qFormat/>
    <w:uiPriority w:val="0"/>
    <w:pPr>
      <w:widowControl w:val="0"/>
      <w:tabs>
        <w:tab w:val="left" w:pos="4440"/>
      </w:tabs>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纯文本1"/>
    <w:basedOn w:val="1"/>
    <w:qFormat/>
    <w:uiPriority w:val="0"/>
    <w:pPr>
      <w:adjustRightInd w:val="0"/>
    </w:pPr>
    <w:rPr>
      <w:rFonts w:ascii="宋体" w:hAnsi="Courier New"/>
      <w:szCs w:val="20"/>
    </w:rPr>
  </w:style>
  <w:style w:type="paragraph" w:customStyle="1" w:styleId="26">
    <w:name w:val="11111"/>
    <w:basedOn w:val="1"/>
    <w:next w:val="1"/>
    <w:qFormat/>
    <w:uiPriority w:val="0"/>
    <w:pPr>
      <w:spacing w:line="360" w:lineRule="auto"/>
      <w:ind w:firstLine="200" w:firstLineChars="200"/>
    </w:pPr>
    <w:rPr>
      <w:rFonts w:hAnsi="宋体" w:cs="宋体"/>
      <w:szCs w:val="24"/>
    </w:rPr>
  </w:style>
  <w:style w:type="paragraph" w:customStyle="1" w:styleId="27">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9">
    <w:name w:val="样式 正文首行缩进 + 首行缩进:  2 字符1"/>
    <w:basedOn w:val="1"/>
    <w:next w:val="15"/>
    <w:qFormat/>
    <w:uiPriority w:val="0"/>
    <w:pPr>
      <w:spacing w:line="360" w:lineRule="auto"/>
      <w:ind w:firstLine="480" w:firstLineChars="200"/>
    </w:pPr>
    <w:rPr>
      <w:sz w:val="24"/>
    </w:rPr>
  </w:style>
  <w:style w:type="paragraph" w:customStyle="1" w:styleId="30">
    <w:name w:val="表头"/>
    <w:basedOn w:val="16"/>
    <w:next w:val="31"/>
    <w:qFormat/>
    <w:uiPriority w:val="0"/>
    <w:pPr>
      <w:tabs>
        <w:tab w:val="left" w:pos="4440"/>
      </w:tabs>
      <w:autoSpaceDE w:val="0"/>
      <w:autoSpaceDN w:val="0"/>
      <w:adjustRightInd w:val="0"/>
      <w:snapToGrid w:val="0"/>
      <w:spacing w:beforeLines="25" w:afterLines="25" w:line="360" w:lineRule="auto"/>
      <w:ind w:firstLine="200" w:firstLineChars="200"/>
      <w:jc w:val="center"/>
      <w:textAlignment w:val="bottom"/>
    </w:pPr>
    <w:rPr>
      <w:rFonts w:ascii="黑体" w:hAnsi="Calibri" w:eastAsia="黑体" w:cs="Times New Roman"/>
      <w:spacing w:val="16"/>
      <w:kern w:val="0"/>
      <w:sz w:val="24"/>
      <w:szCs w:val="24"/>
    </w:rPr>
  </w:style>
  <w:style w:type="paragraph" w:customStyle="1" w:styleId="31">
    <w:name w:val="表1"/>
    <w:next w:val="1"/>
    <w:qFormat/>
    <w:uiPriority w:val="0"/>
    <w:pPr>
      <w:adjustRightInd w:val="0"/>
      <w:snapToGrid w:val="0"/>
      <w:jc w:val="center"/>
    </w:pPr>
    <w:rPr>
      <w:rFonts w:ascii="宋体" w:hAnsi="Times New Roman" w:eastAsia="宋体" w:cs="Times New Roman"/>
      <w:sz w:val="21"/>
      <w:szCs w:val="22"/>
      <w:lang w:val="en-US" w:eastAsia="zh-CN" w:bidi="ar-SA"/>
    </w:rPr>
  </w:style>
  <w:style w:type="character" w:customStyle="1" w:styleId="32">
    <w:name w:val="页眉 Char"/>
    <w:basedOn w:val="23"/>
    <w:link w:val="14"/>
    <w:semiHidden/>
    <w:qFormat/>
    <w:uiPriority w:val="99"/>
    <w:rPr>
      <w:sz w:val="18"/>
      <w:szCs w:val="18"/>
    </w:rPr>
  </w:style>
  <w:style w:type="character" w:customStyle="1" w:styleId="33">
    <w:name w:val="页脚 Char"/>
    <w:basedOn w:val="23"/>
    <w:link w:val="13"/>
    <w:semiHidden/>
    <w:qFormat/>
    <w:uiPriority w:val="99"/>
    <w:rPr>
      <w:sz w:val="18"/>
      <w:szCs w:val="18"/>
    </w:rPr>
  </w:style>
  <w:style w:type="character" w:customStyle="1" w:styleId="34">
    <w:name w:val="批注框文本 Char"/>
    <w:basedOn w:val="23"/>
    <w:link w:val="12"/>
    <w:semiHidden/>
    <w:qFormat/>
    <w:uiPriority w:val="99"/>
    <w:rPr>
      <w:sz w:val="18"/>
      <w:szCs w:val="18"/>
    </w:rPr>
  </w:style>
  <w:style w:type="paragraph" w:customStyle="1" w:styleId="35">
    <w:name w:val="【正文】"/>
    <w:basedOn w:val="1"/>
    <w:next w:val="18"/>
    <w:qFormat/>
    <w:uiPriority w:val="99"/>
    <w:pPr>
      <w:spacing w:line="360" w:lineRule="auto"/>
      <w:ind w:firstLine="480" w:firstLineChars="200"/>
    </w:pPr>
    <w:rPr>
      <w:rFonts w:ascii="Calibri" w:hAnsi="Calibri" w:eastAsia="宋体" w:cs="Times New Roman"/>
      <w:kern w:val="0"/>
      <w:sz w:val="24"/>
      <w:szCs w:val="24"/>
    </w:rPr>
  </w:style>
  <w:style w:type="paragraph" w:customStyle="1" w:styleId="36">
    <w:name w:val="正文00"/>
    <w:basedOn w:val="1"/>
    <w:next w:val="37"/>
    <w:qFormat/>
    <w:uiPriority w:val="0"/>
    <w:pPr>
      <w:spacing w:line="360" w:lineRule="auto"/>
      <w:ind w:left="480" w:firstLine="3808"/>
    </w:pPr>
    <w:rPr>
      <w:kern w:val="0"/>
      <w:sz w:val="20"/>
      <w:szCs w:val="20"/>
    </w:rPr>
  </w:style>
  <w:style w:type="paragraph" w:customStyle="1" w:styleId="37">
    <w:name w:val="样式 Times New Roman 五号 居中1"/>
    <w:basedOn w:val="1"/>
    <w:next w:val="30"/>
    <w:qFormat/>
    <w:uiPriority w:val="0"/>
    <w:pPr>
      <w:ind w:firstLine="3584"/>
      <w:jc w:val="center"/>
    </w:pPr>
    <w:rPr>
      <w:kern w:val="0"/>
      <w:sz w:val="20"/>
      <w:szCs w:val="20"/>
    </w:rPr>
  </w:style>
  <w:style w:type="paragraph" w:customStyle="1" w:styleId="38">
    <w:name w:val="a正文"/>
    <w:basedOn w:val="39"/>
    <w:qFormat/>
    <w:uiPriority w:val="0"/>
    <w:pPr>
      <w:ind w:firstLine="480"/>
    </w:pPr>
    <w:rPr>
      <w:rFonts w:cs="Times New Roman"/>
    </w:rPr>
  </w:style>
  <w:style w:type="paragraph" w:customStyle="1" w:styleId="39">
    <w:name w:val="正文格式"/>
    <w:basedOn w:val="1"/>
    <w:next w:val="1"/>
    <w:qFormat/>
    <w:uiPriority w:val="0"/>
    <w:pPr>
      <w:spacing w:line="360" w:lineRule="auto"/>
      <w:ind w:firstLine="42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1209</Words>
  <Characters>1261</Characters>
  <Lines>1</Lines>
  <Paragraphs>1</Paragraphs>
  <TotalTime>39</TotalTime>
  <ScaleCrop>false</ScaleCrop>
  <LinksUpToDate>false</LinksUpToDate>
  <CharactersWithSpaces>1322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2023-03-27T00:09:00Z</dcterms:created>
  <dc:creator>Administrator</dc:creator>
  <cp:lastModifiedBy>Administrator</cp:lastModifiedBy>
  <cp:lastPrinted>2025-11-06T02:51:00Z</cp:lastPrinted>
  <dcterms:modified xsi:type="dcterms:W3CDTF">2026-01-27T07:46:21Z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C704A37A80F64AEA97A70A9E22318C8F_12</vt:lpwstr>
  </property>
  <property fmtid="{D5CDD505-2E9C-101B-9397-08002B2CF9AE}" pid="4" name="KSOTemplateDocerSaveRecord">
    <vt:lpwstr>eyJoZGlkIjoiZjg1ZDNjODk3YmJjMTkxZTA0MGU1NjA0MzdlNDUzYTUiLCJ1c2VySWQiOiI2MzU0OTQzNjIifQ==</vt:lpwstr>
  </property>
</Properties>
</file>